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B7E4" w14:textId="77777777" w:rsidR="002B3DB0" w:rsidRPr="00CF79E7" w:rsidRDefault="002B3DB0" w:rsidP="002B3DB0">
      <w:pPr>
        <w:rPr>
          <w:b/>
          <w:sz w:val="24"/>
          <w:szCs w:val="24"/>
        </w:rPr>
      </w:pPr>
      <w:r w:rsidRPr="00CF79E7">
        <w:rPr>
          <w:b/>
          <w:sz w:val="24"/>
          <w:szCs w:val="24"/>
        </w:rPr>
        <w:t>Изменения законодательства о ломбардах</w:t>
      </w:r>
    </w:p>
    <w:p w14:paraId="7F2468CF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В целях совершенствования правового регулирования деятельности ломбардов Федеральным законом от 13.07.2020 № 196-ФЗ «О внесении изменений в отдельные законодательные акты Российской Федерации» (далее – Закон № 196-ФЗ) предусмотрен новый порядок допуска ломбардов на финансовый рынок, приобретения и прекращения статуса ломбарда.</w:t>
      </w:r>
    </w:p>
    <w:p w14:paraId="32D5DC3D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В частности, Закон № 196-ФЗ дополнил Федеральный закон от 19.07.2007 № 196-ФЗ «О ломбардах» ст. 2.6, в соответствии с которой организации, планирующие получить статус ломбарда, а также действующие ломбарды должны направить в Банк России заявление о внесении сведений в государственный реестр ломбардов с приложением необходимых документов, перечень которых установлен указанием Банка России от 19.11.2020 № 5626-У.</w:t>
      </w:r>
    </w:p>
    <w:p w14:paraId="516EE08F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Данные изменения вступили в законную силу с 11.01.2021, в связи с чем ранее действовавший порядок допуска ломбардов на финансовый рынок на основе сведений, полученных от уполномоченного федерального органа исполнительной власти, осуществляющего государственную регистрацию юридических лиц, отменен.</w:t>
      </w:r>
    </w:p>
    <w:p w14:paraId="25A9A3F8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Начиная с 10.04.2021 ломбарды, сведения о которых внесены в государственный реестр ломбардов до 11.01.2021, не вправе заключать потребительского займа и вносить в заключенные договоры потребительского займа изменения, направленные на увеличение сроков исполнения обязательств по данным договорам, до момента внесения Центральным банком Российской Федерации сведений о них в государственный реестр ломбардов.</w:t>
      </w:r>
    </w:p>
    <w:p w14:paraId="780428A6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Кроме того, ч. 8 ст. 5 Закона № 196-ФЗ определено, что в случае, если сведения об организации не были включены в государственный реестр ломбардов по новым правилам до 09.07.2021, то такая организация утратила статус ломбарда.</w:t>
      </w:r>
    </w:p>
    <w:p w14:paraId="5298540D" w14:textId="77777777" w:rsidR="002B3DB0" w:rsidRPr="00CF79E7" w:rsidRDefault="002B3DB0" w:rsidP="002B3DB0">
      <w:pPr>
        <w:spacing w:before="100" w:beforeAutospacing="1" w:after="100" w:afterAutospacing="1"/>
        <w:jc w:val="both"/>
        <w:rPr>
          <w:sz w:val="24"/>
          <w:szCs w:val="24"/>
        </w:rPr>
      </w:pPr>
      <w:r w:rsidRPr="00CF79E7">
        <w:rPr>
          <w:sz w:val="24"/>
          <w:szCs w:val="24"/>
        </w:rPr>
        <w:t>Таким образом, начиная с 11.01.2021, ни одно юридическое лицо в Российской Федерации, за исключением юридических лиц, сведения о которых внесены в государственный реестр ломбардов, не вправе более 90 дней использовать в своем наименовании (полном фирменном наименовании и сокращенном фирменном наименовании, при его наличии) слово «ломбард» или слова и словосочетания, производные от слова «ломбард».</w:t>
      </w:r>
    </w:p>
    <w:p w14:paraId="6D9A908C" w14:textId="77777777" w:rsidR="00CF79E7" w:rsidRDefault="00CF79E7" w:rsidP="00CF79E7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5DA84B6F" w14:textId="77777777" w:rsidR="00CF79E7" w:rsidRDefault="00CF79E7" w:rsidP="00CF79E7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5286044A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9"/>
    <w:rsid w:val="002B3DB0"/>
    <w:rsid w:val="005E3959"/>
    <w:rsid w:val="00622A04"/>
    <w:rsid w:val="00C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7DFE-B83E-4C89-BFD7-C91747CF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2022-05-30T07:58:00Z</dcterms:created>
  <dcterms:modified xsi:type="dcterms:W3CDTF">2022-05-30T11:48:00Z</dcterms:modified>
</cp:coreProperties>
</file>